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NW_27045 (Nordrhein-Westfalen)</w:t>
      </w:r>
    </w:p>
    <w:p>
      <w:r>
        <w:rPr>
          <w:color w:val="555555"/>
          <w:sz w:val="18"/>
        </w:rPr>
        <w:t xml:space="preserve">Satzung des Landschaftsverbandes Rheinland über die Heranziehung der örtlichen Träger der Kriegsopferfürsorge zur Durchführung von Aufgaben des überörtlichen Trägers der Kriegsopferfürsorge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Antrag der örtlichen Träger leistet der überörtliche Träger im Verfahren vor den Gerichten Rechtsbeistand. Der überörtliche Träger erstattet die Verfahrenskosten.</w:t>
      </w:r>
    </w:p>
    <w:p>
      <w:r>
        <w:rPr>
          <w:color w:val="555555"/>
          <w:sz w:val="17"/>
        </w:rPr>
        <w:t xml:space="preserve">Zitiervorschlag: § 3 NW_27045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https://recht.nulegal.eu/gesetze/NW_27045/3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