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NW_27045 (Nordrhein-Westfalen)</w:t>
      </w:r>
    </w:p>
    <w:p>
      <w:r>
        <w:rPr>
          <w:color w:val="555555"/>
          <w:sz w:val="18"/>
        </w:rPr>
        <w:t xml:space="preserve">Satzung des Landschaftsverbandes Rheinland über die Heranziehung der örtlichen Träger der Kriegsopferfürsorge zur Durchführung von Aufgaben des überörtlichen Trägers der Kriegsopferfürsorge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örtlichen Träger der Kriegsopferfürsorge führen ferner unbeschadet des § 1 folgende Aufgaben des überörtlichen Trägers der Kriegsopferfürsorge durch:</w:t>
      </w:r>
    </w:p>
    <w:p>
      <w:r>
        <w:t xml:space="preserve">1. die nachgehenden Hilfen zur Sicherung des Arbeitsplatzes nach § 26 BVG</w:t>
      </w:r>
    </w:p>
    <w:p>
      <w:r>
        <w:t xml:space="preserve">2. Hausbesuche und sonstige persönliche Betreuungsmaßnahmen</w:t>
      </w:r>
    </w:p>
    <w:p>
      <w:r>
        <w:t xml:space="preserve">3. die Aufnahme, Ergänzung und Überprüfung von Anträgen</w:t>
      </w:r>
    </w:p>
    <w:p>
      <w:r>
        <w:t xml:space="preserve">4. die Verwaltungsmaßnahmen, die sich aus der Bewilligung von Leistungen ergeben, insbesondere die Auszahlung von Geldleistungen sowie die Überwachung und Sicherung ihrer zweckentsprechenden Verwendung</w:t>
      </w:r>
    </w:p>
    <w:p>
      <w:r>
        <w:t xml:space="preserve">5. die Einziehung von Kostenbeiträgen Dritter</w:t>
      </w:r>
    </w:p>
    <w:p>
      <w:r>
        <w:t xml:space="preserve">6. die Geltendmachung von Ersatzansprüchen.</w:t>
      </w:r>
    </w:p>
    <w:p>
      <w:r>
        <w:t xml:space="preserve">(2) In den Fällen des Abs. 1 Ziff. 1, 2 und 4 kann sich der überörtliche Träger die Durchführung der Aufgaben im allgemeinen oder im Einzelfall ganz oder teilweise vorbehalten.</w:t>
      </w:r>
    </w:p>
    <w:p>
      <w:r>
        <w:rPr>
          <w:color w:val="555555"/>
          <w:sz w:val="17"/>
        </w:rPr>
        <w:t xml:space="preserve">Zitiervorschlag: § 2 NW_27045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https://recht.nulegal.eu/gesetze/NW_27045/2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