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NW_27039 (Nordrhein-Westfalen) — Rechtsstellung der Mitglieder derSelbstverwaltungsorgane</w:t>
      </w:r>
    </w:p>
    <w:p>
      <w:r>
        <w:rPr>
          <w:color w:val="555555"/>
          <w:sz w:val="18"/>
        </w:rPr>
        <w:t xml:space="preserve">Satzung der Deutschen Rentenversicherung 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Selbstverwaltungsorgane üben ihre Tätigkeit ehrenamtlich aus. Stellvertreter haben für die Zeit, in der sie Mitglieder vertreten oder andere ihnen übertragene Aufgaben wahrnehmen, die Rechte und Pflichten eines Mitgliedes.</w:t>
      </w:r>
    </w:p>
    <w:p>
      <w:r>
        <w:t xml:space="preserve">(2) Die Deutsche Rentenversicherung Westfalen entschädigt die Mitglieder der Selbstverwaltungsorgane nach Maßgabe der gesetzlichen Bestimmungen (§ 41 SGB IV).</w:t>
      </w:r>
    </w:p>
    <w:p>
      <w:r>
        <w:t xml:space="preserve">(3) Nähere Einzelheiten bleiben den besonderen Entschädigungsregelungen für die Mitglieder der Selbstverwaltungsorgane vorbehalten.</w:t>
      </w:r>
    </w:p>
    <w:p>
      <w:r>
        <w:rPr>
          <w:color w:val="555555"/>
          <w:sz w:val="17"/>
        </w:rPr>
        <w:t xml:space="preserve">Zitiervorschlag: § 4 NW_27039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