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NW_27039 (Nordrhein-Westfalen) — Wahltermin, Wahlverfahren</w:t>
      </w:r>
    </w:p>
    <w:p>
      <w:r>
        <w:rPr>
          <w:color w:val="555555"/>
          <w:sz w:val="18"/>
        </w:rPr>
        <w:t xml:space="preserve">Satzung der Deutschen Rentenversicherung 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der konstituierenden Sitzung der Vertreterversammlung wird der Termin zur Wahl der Versichertenältesten festgelegt.</w:t>
      </w:r>
    </w:p>
    <w:p>
      <w:r>
        <w:t xml:space="preserve">(2) Für die Wahl der Versichertenältesten gelten die §§ 52, 56-60 und 62 Abs. 4 SGB IV entsprechend.</w:t>
      </w:r>
    </w:p>
    <w:p>
      <w:r>
        <w:rPr>
          <w:color w:val="555555"/>
          <w:sz w:val="17"/>
        </w:rPr>
        <w:t xml:space="preserve">Zitiervorschlag: § 26 NW_27039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https://recht.nulegal.eu/gesetze/NW_27039/26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