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NW_27036 (Nordrhein-Westfalen) — Dauer und Verlust der Mitgliedschaft</w:t>
      </w:r>
    </w:p>
    <w:p>
      <w:r>
        <w:rPr>
          <w:color w:val="555555"/>
          <w:sz w:val="18"/>
        </w:rPr>
        <w:t xml:space="preserve">Satzung der Deutschen Rentenversicherung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§§ 3 und 4 der Satzung sowie § 59 SGB IV gelten entsprechend.</w:t>
      </w:r>
    </w:p>
    <w:p>
      <w:r>
        <w:rPr>
          <w:color w:val="555555"/>
          <w:sz w:val="17"/>
        </w:rPr>
        <w:t xml:space="preserve">Zitiervorschlag: § 28 NW_27036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https://recht.nulegal.eu/gesetze/NW_27036/28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