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NW_27036 (Nordrhein-Westfalen) — Schriftliche Willenserklärung</w:t>
      </w:r>
    </w:p>
    <w:p>
      <w:r>
        <w:rPr>
          <w:color w:val="555555"/>
          <w:sz w:val="18"/>
        </w:rPr>
        <w:t xml:space="preserve">Satzung der Deutschen Rentenversicherung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schriftlichen Willenserklärungen des Vorstandes im Rahmen seiner Vertretungsbefugnis werden unter dem Namen der Deutschen Rentenversicherung Rheinland mit dem Zusatz ,,Der Vorstand" abgegeben.</w:t>
      </w:r>
    </w:p>
    <w:p>
      <w:r>
        <w:t xml:space="preserve">(2) Sie sind von dem Vorsitzenden des Vorstandes, seinem Vertreter oder von den vertretungsberechtigten Mitgliedern des Vorstandes (§ 11 Abs. 2) zu unterzeichnen.</w:t>
      </w:r>
    </w:p>
    <w:p>
      <w:r>
        <w:t xml:space="preserve">(3) Die Willenserklärungen sind mit dem Dienstsiegel zu versehen.</w:t>
      </w:r>
    </w:p>
    <w:p>
      <w:r>
        <w:rPr>
          <w:color w:val="555555"/>
          <w:sz w:val="17"/>
        </w:rPr>
        <w:t xml:space="preserve">Zitiervorschlag: § 13 NW_27036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