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NW_27025 (Nordrhein-Westfalen)</w:t>
      </w:r>
    </w:p>
    <w:p>
      <w:r>
        <w:rPr>
          <w:color w:val="555555"/>
          <w:sz w:val="18"/>
        </w:rPr>
        <w:t xml:space="preserve">ZustVO SGB IX SchwbR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Die Verordnung wird erlassen</w:t>
      </w:r>
    </w:p>
    <w:p>
      <w:r>
        <w:t xml:space="preserve">a) von der Landesregierung aufgrund des § 37 Abs. 1 Satz 1, des § 37 Abs. 2, des § 62 Abs. 4 Satz 1 und des § 64 Abs. 4 des Schwerbehindertengesetzes sowie des § 5 Abs. 3 Satz 1 des Landesorganisationsgesetzes (LOG. NW.) vom 10. Juli 1962 (GV. NW. S. 421), zuletzt geändert durch Gesetz vom 20. Oktober 1987 (GV. NW. S. 366), - insoweit nach Anhörung des Ausschusses für Arbeit, Gesundheit, Soziales und Angelegenheiten der Vertriebenen und Flüchtlinge des Landtags -</w:t>
      </w:r>
    </w:p>
    <w:p>
      <w:r>
        <w:t xml:space="preserve">b) vom Innenminister im Einvernehmen mit dem Minister für Arbeit, Gesundheit und Soziales aufgrund des § 5 Abs. 6 LOG. NW.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Zusatz</w:t>
      </w:r>
    </w:p>
    <w:p>
      <w:r>
        <w:t xml:space="preserve">(Artikel 9 des Gesetzes v. 16. 12. 2003 (GV. NRW. S. 766))</w:t>
      </w:r>
    </w:p>
    <w:p>
      <w:r>
        <w:t xml:space="preserve">Rückkehr zum einheitlichen Verordnungsrang</w:t>
      </w:r>
    </w:p>
    <w:p>
      <w:r>
        <w:t xml:space="preserve">Die durch dieses Gesetz geänderten Rechtsverordnungen können auf Grund der jeweils einschlägigen Ermächtigungen durch Rechtsverordnung geändert werden.</w:t>
      </w:r>
    </w:p>
    <w:p>
      <w:r>
        <w:rPr>
          <w:color w:val="555555"/>
          <w:sz w:val="17"/>
        </w:rPr>
        <w:t xml:space="preserve">Zitiervorschlag: § 6 NW_27025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