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NW_27025 (Nordrhein-Westfalen)</w:t>
      </w:r>
    </w:p>
    <w:p>
      <w:r>
        <w:rPr>
          <w:color w:val="555555"/>
          <w:sz w:val="18"/>
        </w:rPr>
        <w:t xml:space="preserve">ZustVO SGB IX SchwbR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Bekanntmachung des Prozentsatzes nach § 231 Absatz 4 Satz 1 des Neunten Buches Sozialgesetzbuch ist das für die Behindertenpolitik federführende Ministerium zuständig.</w:t>
      </w:r>
    </w:p>
    <w:p>
      <w:r>
        <w:rPr>
          <w:color w:val="555555"/>
          <w:sz w:val="17"/>
        </w:rPr>
        <w:t xml:space="preserve">Zitiervorschlag: § 4 NW_27025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