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NW_27025 (Nordrhein-Westfalen)</w:t>
      </w:r>
    </w:p>
    <w:p>
      <w:r>
        <w:rPr>
          <w:color w:val="555555"/>
          <w:sz w:val="18"/>
        </w:rPr>
        <w:t xml:space="preserve">ZustVO SGB IX SchwbR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Verlängerung der Gültigkeitsdauer der Ausweise nach § 152 Absatz 5 des Neunten Buches Sozialgesetzbuch, für die eine Feststellung nach § 152 Absatz 1 des Neunten Buches Sozialgesetzbuch nicht zu treffen ist, wird den Gemeinden übertragen.</w:t>
      </w:r>
    </w:p>
    <w:p>
      <w:r>
        <w:t xml:space="preserve">(2) Örtlich zuständig ist die Gemeinde, in der der schwerbehinderte Mensch seinen gewöhnlichen Aufenthalt hat.</w:t>
      </w:r>
    </w:p>
    <w:p>
      <w:r>
        <w:rPr>
          <w:color w:val="555555"/>
          <w:sz w:val="17"/>
        </w:rPr>
        <w:t xml:space="preserve">Zitiervorschlag: § 3 NW_27025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https://recht.nulegal.eu/gesetze/NW_27025/3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