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NW_27025 (Nordrhein-Westfalen)</w:t>
      </w:r>
    </w:p>
    <w:p>
      <w:r>
        <w:rPr>
          <w:color w:val="555555"/>
          <w:sz w:val="18"/>
        </w:rPr>
        <w:t xml:space="preserve">ZustVO SGB IX SchwbR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Landschaftsverbände bestimmen durch ihre Satzungen, ob und inwieweit die örtlichen Träger herangezogen werden bei der</w:t>
      </w:r>
    </w:p>
    <w:p>
      <w:r>
        <w:t xml:space="preserve">1. Erhebung der Ausgleichsabgabe,</w:t>
      </w:r>
    </w:p>
    <w:p>
      <w:r>
        <w:t xml:space="preserve">2. Durchführung der begleitenden Hilfe im Arbeitsleben über § 1 Absatz 1 hinaus,</w:t>
      </w:r>
    </w:p>
    <w:p>
      <w:r>
        <w:t xml:space="preserve">3. Durchführung von Schulungs- und Bildungsmaßnahmen nach § 185 Absatz 2 Satz 6 des Neunten Buches Sozialgesetzbuch,</w:t>
      </w:r>
    </w:p>
    <w:p>
      <w:r>
        <w:t xml:space="preserve">4. Erfüllung der Aufgaben nach § 214 des Neunten Buches Sozialgesetzbuch.</w:t>
      </w:r>
    </w:p>
    <w:p>
      <w:r>
        <w:rPr>
          <w:color w:val="555555"/>
          <w:sz w:val="17"/>
        </w:rPr>
        <w:t xml:space="preserve">Zitiervorschlag: § 2 NW_27025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https://recht.nulegal.eu/gesetze/NW_27025/2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