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NW_27017 (Nordrhein-Westfalen) — Benachteiligungsverbot</w:t>
      </w:r>
    </w:p>
    <w:p>
      <w:r>
        <w:rPr>
          <w:color w:val="555555"/>
          <w:sz w:val="18"/>
        </w:rPr>
        <w:t xml:space="preserve">Gesetz zur Freistellung von Arbeitnehmern zum Zwecke der beruflichen und politischen Weiterbildung - Arbeitnehmerweiterbildungsgesetz (AWbG)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Von den vorstehenden Bestimmungen darf nicht zu ungunsten des Arbeitnehmers abgewichen werden.</w:t>
      </w:r>
    </w:p>
    <w:p>
      <w:r>
        <w:t xml:space="preserve">(2) Der Arbeitnehmer darf wegen der Inanspruchnahme der Arbeitnehmerweiterbildung nicht benachteiligt werden.</w:t>
      </w:r>
    </w:p>
    <w:p>
      <w:r>
        <w:rPr>
          <w:color w:val="555555"/>
          <w:sz w:val="17"/>
        </w:rPr>
        <w:t xml:space="preserve">Zitiervorschlag: § 8 NW_27017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https://recht.nulegal.eu/gesetze/NW_27017/8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