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NW_27017 (Nordrhein-Westfalen) — Verhältnis zu anderen Ansprüchen</w:t>
      </w:r>
    </w:p>
    <w:p>
      <w:r>
        <w:rPr>
          <w:color w:val="555555"/>
          <w:sz w:val="18"/>
        </w:rPr>
        <w:t xml:space="preserve">Gesetz zur Freistellung von Arbeitnehmern zum Zwecke der beruflichen und politischen Weiterbildung - Arbeitnehmerweiterbildungsgesetz (AWbG)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Freistellung zur Teilnahme an Bildungsveranstaltungen, die auf anderen Rechtsvorschriften, tarifvertraglichen Vereinbarungen, betrieblichen Vereinbarungen oder Einzelverträgen beruhen, können auf den Anspruch nach diesem Gesetz angerechnet werden, soweit sie dem Arbeitnehmer uneingeschränkt das Erreichen der in § 1 niedergelegten Ziele ermöglichen und die Anrechenbarkeit vorgesehen ist.</w:t>
      </w:r>
    </w:p>
    <w:p>
      <w:r>
        <w:t xml:space="preserve">(2) Stellt der Arbeitgeber den Arbeitnehmer unter Fortzahlung des Arbeitsentgeltes für die Teilnahme an einer betrieblich oder dienstlich veranlassten Bildungsveranstaltung frei, kann er davon bis zu zwei Tagen im Kalenderjahr auf den Freistellungsanspruch von fünf Tagen im Kalenderjahr anrechnen. Der Arbeitgeber hat die Anrechnung dem Arbeitnehmer mindestens sechs Wochen vor Beginn der Bildungsveranstaltung schriftlich mitzuteilen.</w:t>
      </w:r>
    </w:p>
    <w:p>
      <w:r>
        <w:rPr>
          <w:color w:val="555555"/>
          <w:sz w:val="17"/>
        </w:rPr>
        <w:t xml:space="preserve">Zitiervorschlag: § 4 NW_27017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