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NW_27017 (Nordrhein-Westfalen) — Anspruchsberechtigte</w:t>
      </w:r>
    </w:p>
    <w:p>
      <w:r>
        <w:rPr>
          <w:color w:val="555555"/>
          <w:sz w:val="18"/>
        </w:rPr>
        <w:t xml:space="preserve">Gesetz zur Freistellung von Arbeitnehmern zum Zwecke der beruflichen und politischen Weiterbildung - Arbeitnehmerweiterbildungsgesetz (AWbG)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Anspruchsberechtigt nach diesem Gesetz sind Arbeiter und Angestellte, deren Beschäftigungsverhältnisse ihren Schwerpunkt in Nordrhein-Westfalen haben (Arbeitnehmer). Als Arbeitnehmer gelten auch die in Heimarbeit Beschäftigten sowie ihnen Gleichgestellte und andere Personen, die wegen ihrer wirtschaftlichen Unselbständigkeit als arbeitnehmerähnliche Personen anzusehen sind.</w:t>
      </w:r>
    </w:p>
    <w:p>
      <w:r>
        <w:rPr>
          <w:color w:val="555555"/>
          <w:sz w:val="17"/>
        </w:rPr>
        <w:t xml:space="preserve">Zitiervorschlag: § 2 NW_27017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