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NW_27017 (Nordrhein-Westfalen) — Anwendbarkeit des Verfahrens über eine einheitliche Stelle; Ministerium</w:t>
      </w:r>
    </w:p>
    <w:p>
      <w:r>
        <w:rPr>
          <w:color w:val="555555"/>
          <w:sz w:val="18"/>
        </w:rPr>
        <w:t xml:space="preserve">Gesetz zur Freistellung von Arbeitnehmern zum Zwecke der beruflichen und politischen Weiterbildung - Arbeitnehmerweiterbildungsgesetz (AWbG)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Anerkennungsverfahren nach § 11 kann über eine einheitliche Stelle nach den Vorschriften des Verwaltungsverfahrensgesetzes abgewickelt werden.</w:t>
      </w:r>
    </w:p>
    <w:p>
      <w:r>
        <w:t xml:space="preserve">(2) Ministerium im Sinne dieses Gesetzes ist das für Arbeitnehmerweiterbildung zuständige Ministerium.</w:t>
      </w:r>
    </w:p>
    <w:p>
      <w:r>
        <w:rPr>
          <w:color w:val="555555"/>
          <w:sz w:val="17"/>
        </w:rPr>
        <w:t xml:space="preserve">Zitiervorschlag: § 12 NW_27017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