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NW_27016 (Nordrhein-Westfalen) — Selbständige Fischereirechte und Gewässereigentum</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selbständiges Fischereirecht gilt vom Inkrafttreten dieses Gesetzes an als ein das Gewässergrundstück belastendes Recht. Sein Rang bestimmt sich nach der Zeit der Entstehung. Es braucht, um gegenüber dem öffentlichen Glauben des Grundbuchs wirksam zu sein, nicht eingetragen zu werden. Der Berechtigte oder der Eigentümer des belasteten Grundstücks kann jedoch die Eintragung beantragen.</w:t>
      </w:r>
    </w:p>
    <w:p>
      <w:r>
        <w:t xml:space="preserve">(2) Auf ein Recht im Sinne des Absatzes 1 ist § 1004 des Bürgerlichen Gesetzbuches anzuwenden.</w:t>
      </w:r>
    </w:p>
    <w:p>
      <w:r>
        <w:rPr>
          <w:color w:val="555555"/>
          <w:sz w:val="17"/>
        </w:rPr>
        <w:t xml:space="preserve">Zitiervorschlag: § 6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