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NW_27016 (Nordrhein-Westfalen) — Staatsverträge</w:t>
      </w:r>
    </w:p>
    <w:p>
      <w:r>
        <w:rPr>
          <w:color w:val="555555"/>
          <w:sz w:val="18"/>
        </w:rPr>
        <w:t xml:space="preserve">Landesfischereigesetz;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Unberührt bleiben die auf Staatsverträgen beruhenden besonderen Vorschriften über die Fischerei.</w:t>
      </w:r>
    </w:p>
    <w:p>
      <w:r>
        <w:rPr>
          <w:color w:val="555555"/>
          <w:sz w:val="17"/>
        </w:rPr>
        <w:t xml:space="preserve">Zitiervorschlag: § 56 NW_27016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https://recht.nulegal.eu/gesetze/NW_27016/56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