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NW_27016 (Nordrhein-Westfalen) — Aufrechterhaltung selbständiger Fischereirechte</w:t>
      </w:r>
    </w:p>
    <w:p>
      <w:r>
        <w:rPr>
          <w:color w:val="555555"/>
          <w:sz w:val="18"/>
        </w:rPr>
        <w:t xml:space="preserve">Landesfischereigesetz;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Fischereirechte, die nicht dem Eigentümer des Gewässergrundstücks zustehen (selbständige Fischereirechte), bleiben aufrechterhalten, soweit sie bei Inkraftreten dieses Gesetzes im Wasserbuch oder im Grundbuch eingetragen sind.</w:t>
      </w:r>
    </w:p>
    <w:p>
      <w:r>
        <w:t xml:space="preserve">(2) Im Gebiet des ehemaligen Landes Lippe bestehende selbständige Fischereirechte erlöschen mit Ablauf des 30. Dezember 1975, wenn sie nicht bis zu diesem Zeitpunkt im Wasserbuch eingetragen sind.</w:t>
      </w:r>
    </w:p>
    <w:p>
      <w:r>
        <w:rPr>
          <w:color w:val="555555"/>
          <w:sz w:val="17"/>
        </w:rPr>
        <w:t xml:space="preserve">Zitiervorschlag: § 5 NW_27016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https://recht.nulegal.eu/gesetze/NW_27016/5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