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NW_27016 (Nordrhein-Westfalen) — Schutz der Fischerei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Schutz der Fischerei können durch Rechtsverordung des Ministeriums nach Anhörung des Beirats für das Fischereiwesen Bestimmungen getroffen werden über:</w:t>
      </w:r>
    </w:p>
    <w:p>
      <w:r>
        <w:t xml:space="preserve">a) die Schonzeiten der Fische, einschließlich der Verbote oder der Beschränkungen des Fischens während der Schonzeiten,</w:t>
      </w:r>
    </w:p>
    <w:p>
      <w:r>
        <w:t xml:space="preserve">b) das Mindestmaß der Fische sowie die Behandlung untermaßiger oder während der Schonzeit gefangener Fische,</w:t>
      </w:r>
    </w:p>
    <w:p>
      <w:r>
        <w:t xml:space="preserve">c) die Anlandung, die Beförderung, den Verkauf und die Verwertung untermaßiger oder während der Schonzeit gefangener Fische,</w:t>
      </w:r>
    </w:p>
    <w:p>
      <w:r>
        <w:t xml:space="preserve">d) Verbote oder Beschränkungen des Aussatzes von Fischarten, die den angemessenen Fischbestand des Gewässers gefährden können,</w:t>
      </w:r>
    </w:p>
    <w:p>
      <w:r>
        <w:t xml:space="preserve">e) die Benutzung von Gewässern oder Gewässerteilen,</w:t>
      </w:r>
    </w:p>
    <w:p>
      <w:r>
        <w:t xml:space="preserve">f) die Art, Beschaffenheit und zeitliche Verwendung der Fischereigeräte,</w:t>
      </w:r>
    </w:p>
    <w:p>
      <w:r>
        <w:t xml:space="preserve">g) die Art und Zeit der Werbung von Wasserpflanzen,</w:t>
      </w:r>
    </w:p>
    <w:p>
      <w:r>
        <w:t xml:space="preserve">h) den Schutz der Fischlaichplätze, des Fischlaichs, der Fischbrut und des Winterlagers der Fische,</w:t>
      </w:r>
    </w:p>
    <w:p>
      <w:r>
        <w:t xml:space="preserve">i) den Schutz der Fischnährtiere,</w:t>
      </w:r>
    </w:p>
    <w:p>
      <w:r>
        <w:t xml:space="preserve">j) den Schutz von Wassergeflügel und dessen Brutstätten sowie das Einlassen zahmen Wassergeflügels in Gewässer,</w:t>
      </w:r>
    </w:p>
    <w:p>
      <w:r>
        <w:t xml:space="preserve">k) die Ausübung der Fischerei zur Vermeidung gegenseitiger Störung der Fischer,</w:t>
      </w:r>
    </w:p>
    <w:p>
      <w:r>
        <w:t xml:space="preserve">l) die Kennzeichnung der in Gewässern ausliegenden Fischereifahrzeuge, Fanggeräte und Fischbehälter,</w:t>
      </w:r>
    </w:p>
    <w:p>
      <w:r>
        <w:t xml:space="preserve">m) Maßnahmen zur Wiederauffüllung des Bestands des Europäischen Aals im Rahmen der Umsetzung der Verordnung (EG) Nr. 1100/2007 des Rates vom 18. September 2007 (ABl. L248 vom 22.09.2007, S. 17) in der jeweils aktuellen Fassung und der Umsetzung von Aalbewirtschaftungsplänen, insbesondere Kontroll- und Fangüberwachung, Registrierung von Erwerbsfischern/Erstvermarktern und Fischereifahrzeugen sowie Aalbesatz und Überwachung des gewerbsmäßigen Handels,</w:t>
      </w:r>
    </w:p>
    <w:p>
      <w:r>
        <w:t xml:space="preserve">n) die Anforderungen an eine gleichwertige Buchführung im Sinne des § 6 der Bundesartenschutzverordnung für besonders geschützte Arten.</w:t>
      </w:r>
    </w:p>
    <w:p>
      <w:r>
        <w:t xml:space="preserve">(2) Bei Inkrafttreten dieses Gesetzes bestehende Rechte auf Benutzung ständiger Fischereivorrichtungen sowie auf Gebrauch eines anderen bestimmten Fangmittels werden durch Absatz 1 Buchstabe f nicht berührt, wenn der Fischereiberechtigte nur mit diesem die Fischerei ausüben darf.</w:t>
      </w:r>
    </w:p>
    <w:p>
      <w:r>
        <w:t xml:space="preserve">(3) Absatz 1 Buchstaben a) und b) gelten nicht für Fischeier, Fischbrut und Fische, die aus Anlagen zur Fischzucht oder Fischhaltung stammen und zur Besetzung anderer Gewässer bestimmt sind.</w:t>
      </w:r>
    </w:p>
    <w:p>
      <w:r>
        <w:rPr>
          <w:color w:val="555555"/>
          <w:sz w:val="17"/>
        </w:rPr>
        <w:t xml:space="preserve">Zitiervorschlag: § 42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