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NW_27016 (Nordrhein-Westfalen) — Schadenverhütende Maßnahmen an Anlagenzur Wasserentnahme und an Triebwerken</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Anlagen zur Wasserentnahme oder Triebwerke errichtet, hat durch geeignete Vorrichtungen das Eindringen von Fischen zu verhindern und einen sicheren Fischwechsel zu gewährleisten. Die Pflicht zur Unterhaltung dieser Vorrichtungen kann auf Grund einer Vereinbarung, die der Zustimmung der für das wasserrechtliche Verfahren zuständigen Wasserbehörde und der Fischereibehörde der gleichen Ebene bedarf, von einem anderen übernommen werden.</w:t>
      </w:r>
    </w:p>
    <w:p>
      <w:r>
        <w:t xml:space="preserve">(2) Sind solche Vorrichtungen mit dem Unternehmen nicht vereinbar oder wirtschaftlich nicht zumutbar, so ist anstelle der Verpflichtung nach Absatz 1 jährlich ein angemessener Beitrag für den Fischbesatz oder eine andere gleichwertige Leistung zu erbringen. Die Leistung ist unter Berücksichtigung des Ausmaßes der Schädigung des Fischbestandes festzusetzen. Weitergehende Ansprüche nach anderen Vorschriften bleiben unberührt. Im übrigen finden die wasserrechtlichen Vorschriften Anwendung.</w:t>
      </w:r>
    </w:p>
    <w:p>
      <w:r>
        <w:rPr>
          <w:color w:val="555555"/>
          <w:sz w:val="17"/>
        </w:rPr>
        <w:t xml:space="preserve">Zitiervorschlag: § 40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