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NW_27016 (Nordrhein-Westfalen) — Fischereierlaubnisschein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in einem Gewässer, in dem er nicht Fischereiberechtigte oder -berechtigter oder Fischereipächterin oder -pächter ist, die Fischerei ausübt, muss unabhängig von § 31 einen Erlaubnisschein bei sich führen und diesen auf Verlangen den in § 31 Absatz 1 Satz 1 genannten Personen zur Prüfung aushändigen oder in elektronischer Form vorzeigen. Satz 1 gilt ebenfalls für Personen, die gemäß § 31 Absatz 3 Nummer 3 keines Fischereischeins bedürfen.</w:t>
      </w:r>
    </w:p>
    <w:p>
      <w:r>
        <w:t xml:space="preserve">(2) Ein Erlaubnisschein ist nicht erforderlich</w:t>
      </w:r>
    </w:p>
    <w:p>
      <w:r>
        <w:t xml:space="preserve">a) in den Fällen des § 31 Absatz 3 Nummer 1 und 2,</w:t>
      </w:r>
    </w:p>
    <w:p>
      <w:r>
        <w:t xml:space="preserve">b) bei genehmigten fischereilichen Veranstaltungen.</w:t>
      </w:r>
    </w:p>
    <w:p>
      <w:r>
        <w:rPr>
          <w:color w:val="555555"/>
          <w:sz w:val="17"/>
        </w:rPr>
        <w:t xml:space="preserve">Zitiervorschlag: § 37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