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NW_27016 (Nordrhein-Westfalen) — Gültigkeit des Fischereischeins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Fischereischein erhält seine Gültigkeit nach Abführung der nordrhein-westfälischen Fischereiabgabe und Ausstellung des Nachweises über deren Entrichtung für</w:t>
      </w:r>
    </w:p>
    <w:p>
      <w:r>
        <w:t xml:space="preserve">1. ein Kalenderjahr oder</w:t>
      </w:r>
    </w:p>
    <w:p>
      <w:r>
        <w:t xml:space="preserve">2. fünf aufeinander folgende Kalenderjahre.</w:t>
      </w:r>
    </w:p>
    <w:p>
      <w:r>
        <w:t xml:space="preserve">Die Gültigkeit des Fischereischeins kann auf Antrag erneuert werden.</w:t>
      </w:r>
    </w:p>
    <w:p>
      <w:r>
        <w:t xml:space="preserve">(2) Zum Zeitpunkt der Ausübung der Fischerei müssen die Voraussetzungen nach Absatz 1 vorliegen.</w:t>
      </w:r>
    </w:p>
    <w:p>
      <w:r>
        <w:rPr>
          <w:color w:val="555555"/>
          <w:sz w:val="17"/>
        </w:rPr>
        <w:t xml:space="preserve">Zitiervorschlag: § 34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