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NW_27016 (Nordrhein-Westfalen) — Versagungsgründe</w:t>
      </w:r>
    </w:p>
    <w:p>
      <w:r>
        <w:rPr>
          <w:color w:val="555555"/>
          <w:sz w:val="18"/>
        </w:rPr>
        <w:t xml:space="preserve">Landesfischereigesetz;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Fischereischein ist Personen zu versagen,</w:t>
      </w:r>
    </w:p>
    <w:p>
      <w:r>
        <w:t xml:space="preserve">1. die das 12. Lebensjahr noch nicht vollendet haben,</w:t>
      </w:r>
    </w:p>
    <w:p>
      <w:r>
        <w:t xml:space="preserve">2. die aufgrund einer körperlichen oder geistigen Beeinträchtigung nicht in der Lage sind, die Anforderungen an eine ordnungsgemäße Fischerei zu erfüllen.</w:t>
      </w:r>
    </w:p>
    <w:p>
      <w:r>
        <w:t xml:space="preserve">(2) Der Fischereischein kann Personen versagt werden,</w:t>
      </w:r>
    </w:p>
    <w:p>
      <w:r>
        <w:t xml:space="preserve">1. die wegen Fischwilderei oder wegen vorsätzlicher Beschädigung von Anlagen, Fahrzeugen, Geräten oder Vorrichtungen, die der Fischerei oder der Fischzucht dienen, oder von Wasserbauten rechtskräftig verurteilt worden sind,</w:t>
      </w:r>
    </w:p>
    <w:p>
      <w:r>
        <w:t xml:space="preserve">2. die wegen Fälschung eines Fischereischeins oder einer sonstigen zur Ausübung der Fischerei erforderlichen Bescheinigung rechtskräftig verurteilt worden sind,</w:t>
      </w:r>
    </w:p>
    <w:p>
      <w:r>
        <w:t xml:space="preserve">3. die in den letzten drei Jahren wegen Übertretung fischereirechtlicher Vorschriften oder wegen Tierquälerei rechtskräftig verurteilt worden sind.</w:t>
      </w:r>
    </w:p>
    <w:p>
      <w:r>
        <w:t xml:space="preserve">(3) Aus den Gründen des Absatzes 2 Nummern 1 bis 3 kann der Fischereischein nicht mehr versagt werden, wenn ein strafvermerkfreies Führungszeugnis vorgelegt wird.</w:t>
      </w:r>
    </w:p>
    <w:p>
      <w:r>
        <w:rPr>
          <w:color w:val="555555"/>
          <w:sz w:val="17"/>
        </w:rPr>
        <w:t xml:space="preserve">Zitiervorschlag: § 33 NW_27016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https://recht.nulegal.eu/gesetze/NW_27016/33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