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NW_27016 (Nordrhein-Westfalen) — Aufsicht über die Fischereigenossenschaft</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Fischereigenossenschaft unterliegt der Aufsicht des Staates.</w:t>
      </w:r>
    </w:p>
    <w:p>
      <w:r>
        <w:t xml:space="preserve">(2) Hat die Fischereigenossenschaft ihren Sitz im Gebiet eines Kreises, so ist Aufsichtsbehörde der Landrat als untere staatliche Verwaltungsbehörde. Hat die Fischereigenossenschaft ihren Sitz im Gebiet einer kreisfreien Stadt, so ist Aufsichtsbehörde die kreisfreie Stadt.</w:t>
      </w:r>
    </w:p>
    <w:p>
      <w:r>
        <w:t xml:space="preserve">(3) Obere Aufsichtsbehörde ist die Bezirksregierung.</w:t>
      </w:r>
    </w:p>
    <w:p>
      <w:r>
        <w:t xml:space="preserve">(4) Oberste Aufsichtsbehörde ist das für Fischerei zuständige Ministerium (Ministerium).</w:t>
      </w:r>
    </w:p>
    <w:p>
      <w:r>
        <w:rPr>
          <w:color w:val="555555"/>
          <w:sz w:val="17"/>
        </w:rPr>
        <w:t xml:space="preserve">Zitiervorschlag: § 30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