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NW_27016 (Nordrhein-Westfalen) — Bestehende Verträge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Bestehende Verträge über die Ausübung eines Fischereirechts treten sechs Jahre nach Inkrafttreten dieses Gesetzes außer Kraft, soweit das Vertragsverhältnis nicht vorher endet.</w:t>
      </w:r>
    </w:p>
    <w:p>
      <w:r>
        <w:t xml:space="preserve">(2) Absatz 1 gilt nicht für bestehende Verträge, die nach der Feststellung der Fischereibehörde den Bestimmungen des § 3 Abs. 2 und der §§ 13 und 16 Rechnung tragen.</w:t>
      </w:r>
    </w:p>
    <w:p>
      <w:r>
        <w:rPr>
          <w:color w:val="555555"/>
          <w:sz w:val="17"/>
        </w:rPr>
        <w:t xml:space="preserve">Zitiervorschlag: § 23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