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NW_27016 (Nordrhein-Westfalen) — Voraussetzungen für die Erteilungvon Genehmigungen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Genehmigung darf nur versagt werden, wenn die Erhaltung eines angemessenen Fischbestandes nicht sichergestellt ist oder der Pächter nicht die Gewähr für eine ordnungsgemäße Hege bietet.</w:t>
      </w:r>
    </w:p>
    <w:p>
      <w:r>
        <w:t xml:space="preserve">(2) Die Erfüllung der Erfordernisse des Absatzes 1 soll durch Nebenbestimmungen sichergestellt werden.</w:t>
      </w:r>
    </w:p>
    <w:p>
      <w:r>
        <w:t xml:space="preserve">(3) Durch Auflagen ist ferner sicherzustellen, daß der Pächter Fischereierlaubnisverträge in angemessener Zahl abschließt, wobei keine Gegenleistung gefordert werden darf, die in einem Mißverhältnis zum Verkehrswert des übertragenen Rechts steht.</w:t>
      </w:r>
    </w:p>
    <w:p>
      <w:r>
        <w:rPr>
          <w:color w:val="555555"/>
          <w:sz w:val="17"/>
        </w:rPr>
        <w:t xml:space="preserve">Zitiervorschlag: § 16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