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NW_27016 (Nordrhein-Westfalen) — Fischereipachtvertrag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Abschluss und Änderungen eines Fischereipachtvertrages bedürfen der Schriftform oder der elektronischen Form. Die Pachtzeit muß mindestens zwölf Jahre betragen; die Fischereibehörde kann zur Vermeidung unbilliger Härten hiervon Ausnahmen zulassen.</w:t>
      </w:r>
    </w:p>
    <w:p>
      <w:r>
        <w:t xml:space="preserve">(2) Verträge, die gegen Absatz 1 verstoßen, sind nichtig.</w:t>
      </w:r>
    </w:p>
    <w:p>
      <w:r>
        <w:t xml:space="preserve">(3) Auf den Fischereipachtvertrag finden die Vorschriften der §§ 566 bis 567b, 1056 und 2135 des Bürgerlichen Gesetzbuches entsprechende Anwendung.</w:t>
      </w:r>
    </w:p>
    <w:p>
      <w:r>
        <w:rPr>
          <w:color w:val="555555"/>
          <w:sz w:val="17"/>
        </w:rPr>
        <w:t xml:space="preserve">Zitiervorschlag: § 14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NW_27016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