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NW_27016 (Nordrhein-Westfalen) — Geltungsbereich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regelt die Fischerei in stehenden und fließenden Gewässern. Wasserrechtliche Vorschriften bleiben unberührt.</w:t>
      </w:r>
    </w:p>
    <w:p>
      <w:r>
        <w:t xml:space="preserve">(2) Stehende Gewässer sind Wasseransammlungen ohne ständigen, natürlichen und oberirdischen Abfluß. Talsperren und Schiffahrtskanäle gelten als stehende Gewässer. Alle anderen Gewässer sind fließende Gewässer.</w:t>
      </w:r>
    </w:p>
    <w:p>
      <w:r>
        <w:t xml:space="preserve">(3) Dieses Gesetz findet keine Anwendung auf Anlagen zur Fischzucht oder Fischhaltung, sofern sie</w:t>
      </w:r>
    </w:p>
    <w:p>
      <w:r>
        <w:t xml:space="preserve">1. gegen den Wechsel von Fischen, die das vorgeschriebene Mindestmaß haben, abgesperrt sind,</w:t>
      </w:r>
    </w:p>
    <w:p>
      <w:r>
        <w:t xml:space="preserve">2. dauernd bewirtschaftet,</w:t>
      </w:r>
    </w:p>
    <w:p>
      <w:r>
        <w:t xml:space="preserve">3. regelmäßig abgelassen und</w:t>
      </w:r>
    </w:p>
    <w:p>
      <w:r>
        <w:t xml:space="preserve">4. nicht angelfischereilich genutzt werden.</w:t>
      </w:r>
    </w:p>
    <w:p>
      <w:r>
        <w:t xml:space="preserve">(4) Privatgewässer sind stehende Gewässer, die gegen jeden Fischwechsel abgesperrt sind, an denen Alleineigentum, Eigentum zur gesamten Hand oder Miteigentum besteht und die</w:t>
      </w:r>
    </w:p>
    <w:p>
      <w:r>
        <w:t xml:space="preserve">a) zum unmittelbaren Haus-, Wohn- und Hofbereich gehören oder</w:t>
      </w:r>
    </w:p>
    <w:p>
      <w:r>
        <w:t xml:space="preserve">b) nicht größer als 0,5 Hektar sind.</w:t>
      </w:r>
    </w:p>
    <w:p>
      <w:r>
        <w:t xml:space="preserve">Das gleiche gilt für Teiche, die in Verbindung mit fließenden Gewässern stehen.</w:t>
      </w:r>
    </w:p>
    <w:p>
      <w:r>
        <w:t xml:space="preserve">(5) Auf Privatgewässer und ihnen gleichgestellte Gewässer (§ 2) finden nur § 31 für den Fischfang mit der Handangel sowie die §§ 39 und 40 Abs. 1 Anwendung.</w:t>
      </w:r>
    </w:p>
    <w:p>
      <w:r>
        <w:rPr>
          <w:color w:val="555555"/>
          <w:sz w:val="17"/>
        </w:rPr>
        <w:t xml:space="preserve">Zitiervorschlag: § 1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