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NW_27012 (Nordrhein-Westfalen) — Übergangsbestimmungen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im Zeitpunkt des Inkrafttretens des Bundesjagdgesetzes Abrundungen von Jagdbezirken bestanden, bleiben sie aufrechterhalten, bis sie durch Fristablauf enden oder durch Entscheidung der zuständigen Jagdbehörde (§ 3 Abs. 5) abgeändert oder aufgehoben werden.</w:t>
      </w:r>
    </w:p>
    <w:p>
      <w:r>
        <w:t xml:space="preserve">(2) Vereinigungen der Jäger, welche die Voraussetzungen nach § 52 in der Fassung vom 26. Februar 2019 erfüllen, bleiben als solche anerkannt und bedürfen keines neuen Antrags auf Anerkennung. Gemäß § 52 in der Fassung vom 12. Mai 2015 (GV. NRW. S. 448) in Verbindung mit § 2 Absatz 4 der Landesjagdgesetzdurchführungsverordnung vom 12. Mai 2015 (GV. NRW. S. 448) bestellte Jägerprüfungsausschussmitglieder bleiben bis zum Ende ihrer vorgesehenen Bestellung Mitglied des Jägerprüfungsausschusses.</w:t>
      </w:r>
    </w:p>
    <w:p>
      <w:r>
        <w:rPr>
          <w:color w:val="555555"/>
          <w:sz w:val="17"/>
        </w:rPr>
        <w:t xml:space="preserve">Zitiervorschlag: § 59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https://recht.nulegal.eu/gesetze/NW_27012/59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