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NW_27012 (Nordrhein-Westfalen) — Ermächtigungen(Zu § 36 Abs. 2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Ministerium wird ermächtigt, nach Anhörung des zuständigen Ausschusses des Landtags durch Rechtsverordnung Vorschriften zu erlassen über</w:t>
      </w:r>
    </w:p>
    <w:p>
      <w:r>
        <w:t xml:space="preserve">a) die behördliche Überwachung des gewerbsmäßigen Ankaufs, Verkaufs und Tausches sowie der gewerbsmäßigen Verarbeitung von Wildbret und die behördliche Überwachung der Wildhandelsbücher,</w:t>
      </w:r>
    </w:p>
    <w:p>
      <w:r>
        <w:t xml:space="preserve">b) das Aufnehmen, die Pflege und die Aufzucht verletzten oder kranken Wildes und dessen Verbleib, wobei die Vorschriften sich auch auf Eier oder sonstige Entwicklungsformen des Wildes, auf totes Wild, auf Teile des Wildes sowie auf die Nester und die aus Wild gewonnenen Erzeugnisse erstrecken können, soweit dies aus Gründen der Hege, zur Bekämpfung von Wilderei und Wildhehlerei, aus wissenschaftlichen Gründen oder zur Verhütung von Gesundheitsschäden durch Fallwild erforderlich ist.</w:t>
      </w:r>
    </w:p>
    <w:p>
      <w:r>
        <w:rPr>
          <w:color w:val="555555"/>
          <w:sz w:val="17"/>
        </w:rPr>
        <w:t xml:space="preserve">Zitiervorschlag: § 45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