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NW_27012 (Nordrhein-Westfalen) — Befriedete Bezirke(Zu § 6 BJG)</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Befriedete Bezirke sind:</w:t>
      </w:r>
    </w:p>
    <w:p>
      <w:r>
        <w:t xml:space="preserve">a) Gebäude, die zum Aufenthalt von Menschen dienen, und Gebäude, die mit solchen Gebäuden räumlich zusammenhängen;</w:t>
      </w:r>
    </w:p>
    <w:p>
      <w:r>
        <w:t xml:space="preserve">b) Hofräume und Hausgärten, die unmittelbar an eine Behausung anstoßen und durch irgendeine Umfriedung begrenzt oder sonst vollständig abgeschlossen sind;</w:t>
      </w:r>
    </w:p>
    <w:p>
      <w:r>
        <w:t xml:space="preserve">c) Friedhöfe;</w:t>
      </w:r>
    </w:p>
    <w:p>
      <w:r>
        <w:t xml:space="preserve">d) Wildgehege, soweit sie nicht jagdlichen Zwecken dienen;</w:t>
      </w:r>
    </w:p>
    <w:p>
      <w:r>
        <w:t xml:space="preserve">e) Bundesautobahnen;</w:t>
      </w:r>
    </w:p>
    <w:p>
      <w:r>
        <w:t xml:space="preserve">f) Kleingartenanlagen gemäß Bundeskleingartengesetz und Dauerkleingärten gemäß Baugesetzbuch.</w:t>
      </w:r>
    </w:p>
    <w:p>
      <w:r>
        <w:t xml:space="preserve">(2) Grundflächen, die gegen das Ein- und Auswechseln von Wild - ausgenommen Federwild, Wildkaninchen und Raubwild - dauernd abgeschlossen sind, sowie öffentliche Anlagen können durch die untere Jagdbehörde ganz oder teilweise zu befriedeten Bezirken erklärt werden. Auf Grundflächen im Sinne des § 21 Abs. 4 findet Satz 1 keine Anwendung.</w:t>
      </w:r>
    </w:p>
    <w:p>
      <w:r>
        <w:t xml:space="preserve">(3) Die untere Jagdbehörde kann auf Grundflächen, die zu keinem Jagdbezirk gehören, und in befriedeten Bezirken Grundstückseigentümern und Nutzungsberechtigten sowie deren Beauftragten eine beschränkte Ausübung der Jagd allgemein oder im Einzelfall gestatten. Die Genehmigung darf nur erteilt werden, wenn der Nachweis der Sachkunde der jagenden Person durch die bestandene Jäger- oder Falknerprüfung geführt wurde. Die Ausübung der Jagd mit Schusswaffen darf nur gestattet werden, wenn eine ausreichende Jagdhaftpflichtversicherung (§ 17 Abs. 1 Nr. 4 BJG) nachgewiesen ist.</w:t>
      </w:r>
    </w:p>
    <w:p>
      <w:r>
        <w:t xml:space="preserve">(4) In befriedeten Bezirken dürfen die im Sinne von Absatz 3 sachkundigen Eigentümer und Nutzungsberechtigten sowie deren sachkundige Beauftragte unter Beachtung der jagd- und tierschutzrechtlichen Vorschriften jederzeit Wildkaninchen fangen oder töten und sich aneignen. Für den Gebrauch von Schusswaffen ist eine Genehmigung nach Absatz 3 Satz 3 erforderlich.</w:t>
      </w:r>
    </w:p>
    <w:p>
      <w:r>
        <w:t xml:space="preserve">(5) Krankgeschossenes oder aus sonstigen Gründen schwerkrankes Wild, das in Teile eines Jagdbezirks überwechselt, in denen die Jagd ruht oder in denen nur eine beschränkte Jagdausübung gestattet ist, oder sich dort befindet, darf auch dort nachgesucht und erlegt werden. Dies gilt nicht für Gebäude, die zum Aufenthalt von Menschen dienen.</w:t>
      </w:r>
    </w:p>
    <w:p>
      <w:r>
        <w:rPr>
          <w:color w:val="555555"/>
          <w:sz w:val="17"/>
        </w:rPr>
        <w:t xml:space="preserve">Zitiervorschlag: § 4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