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NW_27012 (Nordrhein-Westfalen) — Termin am Schadensort</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 Wild- oder Jagdschaden rechtzeitig (§ 34 Bundesjagdgesetz) angemeldet, so beraumt die Gemeinde unverzüglich einen Termin am Schadensort an, um eine gütliche Einigung herbeizuführen. Die Beteiligten sind in der Ladung darauf hinzuweisen, daß im Falle des Nichterscheinens mit der Ermittlung des Schadens begonnen wird. Beteiligt sind die Geschädigten und die zum Schadenersatz Verpflichteten einschließlich der Jagdpächter, die einen Schaden ganz oder teilweise zu erstatten haben. Der Schätzer soll zu dem Termin geladen werden, wenn ein Beteiligter dies beantragt.</w:t>
      </w:r>
    </w:p>
    <w:p>
      <w:r>
        <w:t xml:space="preserve">(2) Jeder Beteiligte kann in dem Termin beantragen, daß der Schaden in einem weiteren kurz vor der Ernte abzuhaltenden Termin festgestellt werden soll. Dem Antrag muß stattgegeben werden, wenn die Höhe des Schadens im Zeitpunkt des Termins noch nicht einwandfrei festgestellt werden kann. Die Ermittlung ist jedoch soweit durchzuführen, als dies zur endgültigen Feststellung des Schadens notwendig ist. Über die Verhandlung ist eine Niederschrift aufzunehmen.</w:t>
      </w:r>
    </w:p>
    <w:p>
      <w:r>
        <w:rPr>
          <w:color w:val="555555"/>
          <w:sz w:val="17"/>
        </w:rPr>
        <w:t xml:space="preserve">Zitiervorschlag: § 37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