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NW_27012 (Nordrhein-Westfalen) — Vorverfahren(Zu § 35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Wild- und Jagdschadensachen kann der ordentliche Rechtsweg erst beschritten werden, wenn das Feststellungsverfahren (§§ 36 bis 41) durchgeführt ist.</w:t>
      </w:r>
    </w:p>
    <w:p>
      <w:r>
        <w:t xml:space="preserve">(2) Ist die nach § 34 Abs. 1 zuständige Gemeinde als Inhaberin eines Eigenjagdbezirkes oder als Notvorstand einer ersatzpflichtigen Jagdgenossenschaft an dem Verfahren beteiligt oder ist der Wildschaden bei der Aufsichtsbehörde anzumelden (§ 34 Abs. 2), so bestimmt die Aufsichtsbehörde die für die Durchführung des Feststellungsverfahrens zuständige Gemeinde.</w:t>
      </w:r>
    </w:p>
    <w:p>
      <w:r>
        <w:t xml:space="preserve">(3) Lehnt die Gemeinde die Durchführung des Feststellungsverfahrens ab, weil der geltend gemachte Schaden nicht fristgerecht angemeldet worden ist oder kein ersatzpflichtiger Wild- oder Jagdschaden ist, so ist dem Geschädigten ein begründeter Bescheid zu erteilen.</w:t>
      </w:r>
    </w:p>
    <w:p>
      <w:r>
        <w:rPr>
          <w:color w:val="555555"/>
          <w:sz w:val="17"/>
        </w:rPr>
        <w:t xml:space="preserve">Zitiervorschlag: § 35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