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NW_27012 (Nordrhein-Westfalen) — Anmeldung von Wild- und Jagdschäden(Zu § 34 BJG)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 für die Anmeldung von Wild- und Jagdschäden ist die Gemeinde, in deren Gebiet das Grundstück liegt, auf dem der Schaden entstanden ist. Die Anmeldung soll nach dem Muster der Anlage erfolgen.</w:t>
      </w:r>
    </w:p>
    <w:p>
      <w:r>
        <w:t xml:space="preserve">(2) Ist die nach Absatz 1 zuständige Gemeinde Eigentümerin des beschädigten Grundstücks, so ist zuständige Behörde die Aufsichtsbehörde der Gemeinde.</w:t>
      </w:r>
    </w:p>
    <w:p>
      <w:r>
        <w:rPr>
          <w:color w:val="555555"/>
          <w:sz w:val="17"/>
        </w:rPr>
        <w:t xml:space="preserve">Zitiervorschlag: § 34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