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NW_27012 (Nordrhein-Westfalen) — Jagd- und Schonzeiten(Zu § 22 BJG)</w:t>
      </w:r>
    </w:p>
    <w:p>
      <w:r>
        <w:rPr>
          <w:color w:val="555555"/>
          <w:sz w:val="18"/>
        </w:rPr>
        <w:t xml:space="preserve">LJG-NRW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Ministerium wird ermächtigt, im Einvernehmen mit dem Landtag des Landes Nordrhein-Westfalen durch Rechtsverordnung</w:t>
      </w:r>
    </w:p>
    <w:p>
      <w:r>
        <w:t xml:space="preserve">a) nach den in § 1 Absatz 2 des Bundesjagdgesetzes bestimmten Grundsätzen der Hege die Zeiten, in denen die Jagd auf Wild ausgeübt werden darf, abweichend von § 22 Absatz 1 Satz 3 des Bundesjagdgesetzes festzusetzen und</w:t>
      </w:r>
    </w:p>
    <w:p>
      <w:r>
        <w:t xml:space="preserve">b) für Schwarzwild, Wildkaninchen, Fuchs, Ringeltaube und Rabenkrähe Ausnahmen von den Verboten des § 22 Absatz 4 Satz 1 des Bundesjagdgesetzes zuzulassen.</w:t>
      </w:r>
    </w:p>
    <w:p>
      <w:r>
        <w:t xml:space="preserve">(2) Die untere Jagdbehörde kann die Schonzeiten für bestimmte Gebiete oder einzelne Jagdbezirke, insbesondere aus Gründen der Wildseuchenbekämpfung und Landeskultur, zur Beseitigung kranken oder kümmernden Wildes, zur Vermeidung von übermäßigen Wildschäden, zu wissenschaftlichen, Lehr- und Forschungszwecken, bei Störung des biologischen Gleichgewichts oder der Wildhege aufheben.</w:t>
      </w:r>
    </w:p>
    <w:p>
      <w:r>
        <w:t xml:space="preserve">(3) Die untere Jagdbehörde kann in Einzelfällen</w:t>
      </w:r>
    </w:p>
    <w:p>
      <w:r>
        <w:t xml:space="preserve">a) den Lebendfang von Wild, das nicht ganzjährig mit der Jagd zu verschonen ist, während der Schonzeit zulassen,</w:t>
      </w:r>
    </w:p>
    <w:p>
      <w:r>
        <w:t xml:space="preserve">b) die Jagd auf Wild, für das eine Jagdzeit nicht festgesetzt ist, zu wissenschaftlichen, Lehr- und Forschungszwecken sowie zur Vermeidung übermäßiger Wildschäden zulassen,</w:t>
      </w:r>
    </w:p>
    <w:p>
      <w:r>
        <w:t xml:space="preserve">c) das Ausnehmen oder Unfruchtbarmachen der Gelege von Federwild im Interesse der Volksgesundheit, im Interesse der Sicherheit der Luftfahrt, zur Vermeidung von übermäßigen Wildschäden, zum Schutz der Pflanzen- und Tierwelt, zu wissenschaftlichen, Lehr- und Forschungszwecken oder für Zwecke der Aufzucht mit Zustimmung des Jagdausübungsberechtigten gestatten, sofern es keine andere zufrieden stellende Lösung gibt.</w:t>
      </w:r>
    </w:p>
    <w:p>
      <w:r>
        <w:t xml:space="preserve">(4) Die untere Jagdbehörde kann im Einzelfall den Abschuss von kümmerndem und krankem Wild über den Abschussplan hinaus oder während der Schonzeit genehmigen. Der Genehmigung bedarf es nicht, wenn im Einzelfall das sofortige Erlegen unerläßlich erscheint, um dem Wild vermeidbare Schmerzen oder Leiden zu ersparen oder die Ausbreitung von Seuchen zu verhindern. Der Jagdausübungsberechtigte hat den Abschuss der unteren Jagdbehörde unverzüglich mitzuteilen und ihr auf Verlangen das erlegte Wild vorzuzeigen.</w:t>
      </w:r>
    </w:p>
    <w:p>
      <w:r>
        <w:t xml:space="preserve">(5) Für Federwild gilt dies nur nach Maßgabe der Artikel 7 bis 9 der Richtlinie 2009/147/EG des Europäischen Parlaments und des Rates vom 30. November 2009 über die Erhaltung der wildlebenden Vogelarten (ABl. EU Nr. L 20 vom 26.1.2010, S. 7) in der jeweils geltenden Fassung.</w:t>
      </w:r>
    </w:p>
    <w:p>
      <w:r>
        <w:rPr>
          <w:color w:val="555555"/>
          <w:sz w:val="17"/>
        </w:rPr>
        <w:t xml:space="preserve">Zitiervorschlag: § 24 NW_27012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https://recht.nulegal.eu/gesetze/NW_27012/24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