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NW_27012 (Nordrhein-Westfalen) — Tierarten(Abweichung von § 2 Abs. 2 und § 22 Abs. 1 BJG)</w:t>
      </w:r>
    </w:p>
    <w:p>
      <w:r>
        <w:rPr>
          <w:color w:val="555555"/>
          <w:sz w:val="18"/>
        </w:rPr>
        <w:t xml:space="preserve">LJG-NRW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Tierarten unterliegen im Land Nordrhein-Westfalen, abweichend von § 2 Absatz 2 des Bundesjagdgesetzes in der Fassung der Bekanntmachung vom 29. September 1976 (BGBl. I S. 2849) in der jeweils geltenden Fassung, dem Jagdrecht:</w:t>
      </w:r>
    </w:p>
    <w:p>
      <w:r>
        <w:t xml:space="preserve">1. Haarwild:</w:t>
      </w:r>
    </w:p>
    <w:p>
      <w:r>
        <w:t xml:space="preserve">Rotwild (Cervus elaphus),</w:t>
      </w:r>
    </w:p>
    <w:p>
      <w:r>
        <w:t xml:space="preserve">Damwild (Dama dama),</w:t>
      </w:r>
    </w:p>
    <w:p>
      <w:r>
        <w:t xml:space="preserve">Sikawild (Cervus nippon),</w:t>
      </w:r>
    </w:p>
    <w:p>
      <w:r>
        <w:t xml:space="preserve">Rehwild (Capreolus capreolus),</w:t>
      </w:r>
    </w:p>
    <w:p>
      <w:r>
        <w:t xml:space="preserve">Muffelwild (Ovis ammon musimon)</w:t>
      </w:r>
    </w:p>
    <w:p>
      <w:r>
        <w:t xml:space="preserve">Schwarzwild (Sus scrofa),</w:t>
      </w:r>
    </w:p>
    <w:p>
      <w:r>
        <w:t xml:space="preserve">Feldhase (Lepus europaeus),</w:t>
      </w:r>
    </w:p>
    <w:p>
      <w:r>
        <w:t xml:space="preserve">Wildkaninchen (Oryctolagus cuniculus),</w:t>
      </w:r>
    </w:p>
    <w:p>
      <w:r>
        <w:t xml:space="preserve">Wildkatze (Felis silvestris),</w:t>
      </w:r>
    </w:p>
    <w:p>
      <w:r>
        <w:t xml:space="preserve">Fuchs (Vulpes vulpes),</w:t>
      </w:r>
    </w:p>
    <w:p>
      <w:r>
        <w:t xml:space="preserve">Steinmarder (Martes foina),</w:t>
      </w:r>
    </w:p>
    <w:p>
      <w:r>
        <w:t xml:space="preserve">Baummarder (Martes martes),</w:t>
      </w:r>
    </w:p>
    <w:p>
      <w:r>
        <w:t xml:space="preserve">Iltis (Mustela putorius),</w:t>
      </w:r>
    </w:p>
    <w:p>
      <w:r>
        <w:t xml:space="preserve">Hermelin (Mustela erminea),</w:t>
      </w:r>
    </w:p>
    <w:p>
      <w:r>
        <w:t xml:space="preserve">Mauswiesel (Mustela nivalis),</w:t>
      </w:r>
    </w:p>
    <w:p>
      <w:r>
        <w:t xml:space="preserve">Dachs (Meles meles),</w:t>
      </w:r>
    </w:p>
    <w:p>
      <w:r>
        <w:t xml:space="preserve">Fischotter (Lutra lutra),</w:t>
      </w:r>
    </w:p>
    <w:p>
      <w:r>
        <w:t xml:space="preserve">Waschbär (Procyon lotor),</w:t>
      </w:r>
    </w:p>
    <w:p>
      <w:r>
        <w:t xml:space="preserve">Marderhund (Nyctereutes procyonoides),</w:t>
      </w:r>
    </w:p>
    <w:p>
      <w:r>
        <w:t xml:space="preserve">Mink (Neovison vison);</w:t>
      </w:r>
    </w:p>
    <w:p>
      <w:r>
        <w:t xml:space="preserve">2. Federwild:</w:t>
      </w:r>
    </w:p>
    <w:p>
      <w:r>
        <w:t xml:space="preserve">a) Arten nach § 2 Absatz 1 Nummer 2 des Bundesjagdgesetzes in der jeweils geltenden Fassung,</w:t>
      </w:r>
    </w:p>
    <w:p>
      <w:r>
        <w:t xml:space="preserve">b) Nilgans (Alopochen aegyptiaca),</w:t>
      </w:r>
    </w:p>
    <w:p>
      <w:r>
        <w:t xml:space="preserve">c) Rabenkrähe (Corvus corone) und</w:t>
      </w:r>
    </w:p>
    <w:p>
      <w:r>
        <w:t xml:space="preserve">d) Elster (Pica pica),</w:t>
      </w:r>
    </w:p>
    <w:p>
      <w:r>
        <w:t xml:space="preserve">sofern sie in Nordrhein-Westfalen nach der Roten Liste der Brutvogelarten Nordrhein-Westfalens *1) regelmäßig brüten.</w:t>
      </w:r>
    </w:p>
    <w:p>
      <w:r>
        <w:t xml:space="preserve">*1) Hrsg.: Nordrhein-Westfälische Ornithologengesellschaft und Landesamt für Natur, Umwelt und Verbraucherschutz 2017; 6. Fassung. Stand: Juni 2016.</w:t>
      </w:r>
    </w:p>
    <w:p>
      <w:r>
        <w:rPr>
          <w:color w:val="555555"/>
          <w:sz w:val="17"/>
        </w:rPr>
        <w:t xml:space="preserve">Zitiervorschlag: § 2 NW_27012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