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NW_27012 (Nordrhein-Westfalen) — Sachliche Verbote(Ergänzend zu § 19 BJG)</w:t>
      </w:r>
    </w:p>
    <w:p>
      <w:r>
        <w:rPr>
          <w:color w:val="555555"/>
          <w:sz w:val="18"/>
        </w:rPr>
        <w:t xml:space="preserve">LJG-NRW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Ergänzung des § 19 Absatz 1 des Bundesjagdgesetzes ist verboten:</w:t>
      </w:r>
    </w:p>
    <w:p>
      <w:r>
        <w:t xml:space="preserve">1. mit Schrot oder Posten auf Schalenwild zu schießen; ausgenommen ist der Fangschuss;</w:t>
      </w:r>
    </w:p>
    <w:p>
      <w:r>
        <w:t xml:space="preserve">2. die Jagd mit Vorderladerwaffen, Bolzen oder Pfeilen;</w:t>
      </w:r>
    </w:p>
    <w:p>
      <w:r>
        <w:t xml:space="preserve">3. bei der Jagd Büchsenmunition (mit Ausnahme der Kalibergruppen bis 5,6 mm/.22‘) mit bleihaltigen Geschossen sowie bleihaltige Flintenlaufgeschosse zu verwenden;2</w:t>
      </w:r>
    </w:p>
    <w:p>
      <w:r>
        <w:t xml:space="preserve">4. mit Bleischrot die Jagd an und über Gewässern auszuüben;</w:t>
      </w:r>
    </w:p>
    <w:p>
      <w:r>
        <w:t xml:space="preserve">5. auf Rehwild und gestreifte Schwarzwildfrischlinge (noch nicht einjährige Stücke) mit Büchsenpatronen zu schießen, deren Auftreffenergie auf 100 m (E 100) weniger als 1 000 Joule beträgt;</w:t>
      </w:r>
    </w:p>
    <w:p>
      <w:r>
        <w:t xml:space="preserve">6. Wild, ausgenommen Schwarzwild und Raubwild, zur Nachtzeit zu erlegen; als Nachtzeit gilt die Zeit von eineinhalb Stunden nach Sonnenuntergang bis eineinhalb Stunden vor Sonnenaufgang;</w:t>
      </w:r>
    </w:p>
    <w:p>
      <w:r>
        <w:t xml:space="preserve">7. die Jagdausübung und das Errichten von Jagdeinrichtungen für die Ansitzjagd im Umkreis von 300 Metern von der Mitte von Wildquerungshilfen (Wildunterführungen und Wildgrünbrücken); von dem Verbot der Jagdausübung ausgenommen ist die Ausübung der Nachsuche;</w:t>
      </w:r>
    </w:p>
    <w:p>
      <w:r>
        <w:t xml:space="preserve">8. die Baujagd auf Dachse im Naturbau auszuüben;</w:t>
      </w:r>
    </w:p>
    <w:p>
      <w:r>
        <w:t xml:space="preserve">9. Wild von Ansitzen aus zu erlegen, die weniger als 75 m von der Grenze eines benachbarten Jagdbezirks entfernt sind; dieses Verbot gilt nicht, soweit die Jagdnachbarn eine abweichende schriftliche Vereinbarung getroffen haben;</w:t>
      </w:r>
    </w:p>
    <w:p>
      <w:r>
        <w:t xml:space="preserve">10. zum Anlocken von Wild Tauben- oder Krähenkarussells zu verwenden, sofern keine Attrappen verwendet werden;</w:t>
      </w:r>
    </w:p>
    <w:p>
      <w:r>
        <w:t xml:space="preserve">11. das Töten von Katzen.</w:t>
      </w:r>
    </w:p>
    <w:p>
      <w:r>
        <w:t xml:space="preserve">(2) Die untere Jagdbehörde kann in Einzelfällen die Verbote des Absatzes 1 Nummer 6 bis 9 und des § 19 Absatz 1 des Bundesjagdgesetzes im Interesse der Volksgesundheit und der öffentlichen Sicherheit, im Interesse der Sicherheit der Luftfahrt, zur Abwendung erheblicher Wildschäden, zum Schutz der Pflanzen- und Tierwelt sowie zu Forschungs- und Versuchszwecken zeitweise einschränken. Sie entscheidet ferner über die staatliche Anerkennung eines Fachinstituts im Sinne des § 19 Absatz 3 des Bundesjagdgesetzes.</w:t>
      </w:r>
    </w:p>
    <w:p>
      <w:r>
        <w:t xml:space="preserve">(3) Das Ministerium wird gemäß § 19 Absatz 2 des Bundesjagdgesetzes und aufgrund des Artikels 72 Absatz 3 Satz 1 Nummer 1 des Grundgesetzes ermächtigt, nach Anhörung des zuständigen Ausschusses des Landtags durch Rechtsverordnung die Verbote des Absatzes 1 und des § 19 Absatz 1 des Bundesjagdgesetzes zu erweitern oder aus besonderen Gründen einzuschränken.</w:t>
      </w:r>
    </w:p>
    <w:p>
      <w:r>
        <w:t xml:space="preserve">(4) Das Ministerium wird ermächtigt, nach Anhörung des zuständigen Ausschusses des Landtags durch Rechtsverordnung die Verwendung bestimmter Fanggeräte, die den Anforderungen des § 19 Absatz 1 Nummer 9 des Bundesjagdgesetzes nicht genügen, zu verbieten und die Voraussetzungen und Methoden der Fallenjagd zu bestimmen.</w:t>
      </w:r>
    </w:p>
    <w:p>
      <w:r>
        <w:t xml:space="preserve">________________________________________</w:t>
      </w:r>
    </w:p>
    <w:p>
      <w:r>
        <w:t xml:space="preserve">2 Notifiziert gemäß der Richtlinie (EU) 2015/1535 des Europäischen Parlaments und des Rates vom 9. September 2015 über ein Informationsverfahren auf dem Gebiet der technischen Vorschriften und der Vorschriften für die Dienste der Informationsgesellschaft (ABl. L 241 vom 17.9.2015, S. 1).</w:t>
      </w:r>
    </w:p>
    <w:p>
      <w:r>
        <w:rPr>
          <w:color w:val="555555"/>
          <w:sz w:val="17"/>
        </w:rPr>
        <w:t xml:space="preserve">Zitiervorschlag: § 19 NW_27012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https://recht.nulegal.eu/gesetze/NW_27012/19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