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NW_27012 (Nordrhein-Westfalen) — Tod des Jagdpächters</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Falle des Todes eines Jagdpächters haben die Erben der unteren Jagdbehörde die jagdausübungsberechtigten Erben unter Beachtung der Vorschrift des § 11 Abs. 1 zu benennen. Ist keiner der Erben jagdpachtfähig (§ 11 Abs. 5 des Bundesjagdgesetzes), so haben die Erben der unteren Jagdbehörde eine oder mehrere jagdpachtfähige Personen als Jagdausübungsberechtigte zu benennen.</w:t>
      </w:r>
    </w:p>
    <w:p>
      <w:r>
        <w:t xml:space="preserve">(2) Die untere Jagdbehörde kann den Erben eine angemessene Frist zur Benennung der Jagdausübungsberechtigten setzen. Kommen die Erben der Aufforderung innerhalb der Frist nicht nach, so kann die untere Jagdbehörde die zur Ausübung und zum Schutze der Jagd erforderlichen Anordnungen auf Kosten der Erben treffen.</w:t>
      </w:r>
    </w:p>
    <w:p>
      <w:r>
        <w:rPr>
          <w:color w:val="555555"/>
          <w:sz w:val="17"/>
        </w:rPr>
        <w:t xml:space="preserve">Zitiervorschlag: § 16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NW_27012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