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NW_27005 (Nordrhein-Westfalen) — Markierungszeichen</w:t>
      </w:r>
    </w:p>
    <w:p>
      <w:r>
        <w:rPr>
          <w:color w:val="555555"/>
          <w:sz w:val="18"/>
        </w:rPr>
        <w:t xml:space="preserve">DVO--LNatSchG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Kennzeichnung von Wanderwegen dürfen nur die aus der Anlage 4 zu dieser Verordnung ersichtlichen Markierungszeichen verwendet werden. Die höheren Naturschutzbehörden können für bestimmte Wanderwege andere Markierungszeichen zulassen. Die Zulassung und das andere Markierungszeichen sind im Amtsblatt der Bezirksregierung bekanntzumachen. Orientierungsschilder im Sinne von § 18 Abs. 1 Nr. 2 dürfen nur an Kreuzungspunkten von Wanderwegen oder an anderen bedeutenden Stellen angebracht werden.</w:t>
      </w:r>
    </w:p>
    <w:p>
      <w:r>
        <w:t xml:space="preserve">(2) Absatz 1 gilt nicht für die Kennzeichnung von Wanderwegen in Kurbereichen und für Skiwanderwege.</w:t>
      </w:r>
    </w:p>
    <w:p>
      <w:r>
        <w:rPr>
          <w:color w:val="555555"/>
          <w:sz w:val="17"/>
        </w:rPr>
        <w:t xml:space="preserve">Zitiervorschlag: § 20 NW_27005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https://recht.nulegal.eu/gesetze/NW_27005/20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