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NW_27005 (Nordrhein-Westfalen) — Duldungspflicht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Eigentümer oder Nutzungsberechtigte haben die Kenntlichmachung von Gebieten und Objekten nach § 13 Abs. 1 und das Anbringen der Hinweise nach § 13 Abs. 3 durch die zuständige Naturschutzbehörde zu dulden.</w:t>
      </w:r>
    </w:p>
    <w:p>
      <w:r>
        <w:t xml:space="preserve">Abschnitt V</w:t>
      </w:r>
    </w:p>
    <w:p>
      <w:r>
        <w:t xml:space="preserve">Kennzeichnung von Reitpferden, Reitabgabe</w:t>
      </w:r>
    </w:p>
    <w:p>
      <w:r>
        <w:rPr>
          <w:color w:val="555555"/>
          <w:sz w:val="17"/>
        </w:rPr>
        <w:t xml:space="preserve">Zitiervorschlag: § 14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