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NW_27001 (Nordrhein-Westfalen)</w:t>
      </w:r>
    </w:p>
    <w:p>
      <w:r>
        <w:rPr>
          <w:color w:val="555555"/>
          <w:sz w:val="18"/>
        </w:rPr>
        <w:t xml:space="preserve">Bekanntmachung des Abkommens zwischen der Regierung des Landes Nordrhein-Westfalen und der Regierung des Königreichs der Niederlande über die Zusammenarbeit zur Errichtung und Ausgestaltung eines grenzüberschreitenden Naturparks Maas-Schwalm-Nette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Vertragsparteien verpflichten sich, im Rahmen ihrer jeweiligen Rechtsordnung in den in Artikel 1 Absatz 2 festgelegten Gebieten die Erhaltung der natürlichen Landschaft, ihrer Schönheit und Eigenarten sowie die Pflege und Gestaltung dieser Landschaft unter Berücksichtigung der wirtschaftlichen, kulturellen und sozialen Interessen zu gewährleisten.</w:t>
      </w:r>
    </w:p>
    <w:p>
      <w:r>
        <w:t xml:space="preserve">(2) Die Vertragsparteien werden zu diesem Zweck die erforderlichen Maßnahmen in der beratenden Kommission aufeinander abstimmen.</w:t>
      </w:r>
    </w:p>
    <w:p>
      <w:r>
        <w:rPr>
          <w:color w:val="555555"/>
          <w:sz w:val="17"/>
        </w:rPr>
        <w:t xml:space="preserve">Zitiervorschlag: Art 2 NW_27001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https://recht.nulegal.eu/gesetze/NW_27001/2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