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NW_27001 (Nordrhein-Westfalen)</w:t>
      </w:r>
    </w:p>
    <w:p>
      <w:r>
        <w:rPr>
          <w:color w:val="555555"/>
          <w:sz w:val="18"/>
        </w:rPr>
        <w:t xml:space="preserve">Bekanntmachung des Abkommens zwischen der Regierung des Landes Nordrhein-Westfalen und der Regierung des Königreichs der Niederlande über die Zusammenarbeit zur Errichtung und Ausgestaltung eines grenzüberschreitenden Naturparks Maas-Schwalm-Nette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Vertragsparteien kommen überein, für die in Absatz 2 festgelegten Gebiete eine aufeinander abgestimmte räumliche Entwicklung anzustreben.</w:t>
      </w:r>
    </w:p>
    <w:p>
      <w:r>
        <w:t xml:space="preserve">(2) Für die Gebiete, auf die sich dieses Abkommen bezieht, gilt die folgende Grenzbeschreibung:</w:t>
      </w:r>
    </w:p>
    <w:p>
      <w:r>
        <w:t xml:space="preserve">- Auf deutscher Seite:</w:t>
      </w:r>
    </w:p>
    <w:p>
      <w:r>
        <w:t xml:space="preserve">Im Westen die deutsch-niederländische Grenze zwischen dem Grenzübergang der Bundesstraße 60 bei Herongen und den Grenzsteinen 360/361 bei Karken, weiter der südliche Rand der Rur-Niederung bei Heinsberg-Oberbruch, dann weitgehend die östliche Grenze der Stadt Wassenberg bis zur Ortslage Arsbeck und die Kreisstraße 14 bis zur Ortslage Schwanenberg;</w:t>
      </w:r>
    </w:p>
    <w:p>
      <w:r>
        <w:t xml:space="preserve">im Osten den größten Teil des Stadtgebietes Wegberg umfassend, eine Linie über Waldniel-Amern-Boisheim-Lobberich-Oedt bis Wachtendonk;</w:t>
      </w:r>
    </w:p>
    <w:p>
      <w:r>
        <w:t xml:space="preserve">im Norden die Bundesstraße 60 von Wachtendonk bis zum Grenzübergang bei Herongen.</w:t>
      </w:r>
    </w:p>
    <w:p>
      <w:r>
        <w:t xml:space="preserve">- Auf niederländischer Seite:</w:t>
      </w:r>
    </w:p>
    <w:p>
      <w:r>
        <w:t xml:space="preserve">Im Osten ist das Gebiet durch die Reichsgrenze von der Stadt Venlo bis einschließlich der Gemeinde Echt begrenzt; an der Süd- und Südwestseite durch die Südgrenze der Gemeinden Echt, Ohe und Laak und die Maas als Reichsgrenze mit Belgien und die Südgrenze der Gemeinde Thorn; im Westen durch den westlichen Rand des Maastales bzw. durch die westliche Begrenzung des unmittelbar durch die Auskiesung im Anschluß an die Maas beeinflußten Gebietes; im Norden durch die nördlich von Venlo führende Autobahn A 67.</w:t>
      </w:r>
    </w:p>
    <w:p>
      <w:r>
        <w:t xml:space="preserve">(3) Die genaue Abgrenzung der in Absatz 2 festgelegten Gebiete ist aus einer Karte ersichtlich, die dem Abkommen beigefügt und ein wesentlicher Bestandteil des Abkommens ist.</w:t>
      </w:r>
    </w:p>
    <w:p>
      <w:r>
        <w:t xml:space="preserve">(4) Die Vertragsparteien geben der beratenden Kommission, deren Bildung in Artikel 3 dieses Abkommens vorgesehen ist, die Gebietsteile an, die unter Natur- und Landschaftsschutz stehen, sowie die Gebietsteile, in denen insbesondere die Erholung und der Fremdenverkehr zu fördern sind, und diejenigen, die davon auszunehmen sind.</w:t>
      </w:r>
    </w:p>
    <w:p>
      <w:r>
        <w:t xml:space="preserve">(5) Geringfügige Änderungen in der Abgrenzung (Absatz 2), der Unterschutzstellung und der Zweckbestimmung (Absatz 4) ihrer Gebietsteile kann jede Vertragspartei entsprechend ihrer innerstaatlichen Ordnung nach Anhörung der beratenden Kommission vornehmen.</w:t>
      </w:r>
    </w:p>
    <w:p>
      <w:r>
        <w:rPr>
          <w:color w:val="555555"/>
          <w:sz w:val="17"/>
        </w:rPr>
        <w:t xml:space="preserve">Zitiervorschlag: Art 1 NW_27001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https://recht.nulegal.eu/gesetze/NW_27001/1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