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NW_26997 (Nordrhein-Westfalen) — Inkrafttreten</w:t>
      </w:r>
    </w:p>
    <w:p>
      <w:r>
        <w:rPr>
          <w:color w:val="555555"/>
          <w:sz w:val="18"/>
        </w:rPr>
        <w:t xml:space="preserve">Verordnung über die Einteilung der Forstamtsbezirke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Oktober 1995 in Kraft.</w:t>
      </w:r>
    </w:p>
    <w:p>
      <w:r>
        <w:t xml:space="preserve">Der Minister für Umwelt,</w:t>
      </w:r>
    </w:p>
    <w:p>
      <w:r>
        <w:t xml:space="preserve">Raumordnung und Landwirtschaft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196 des Dritten Befristungsgesetzes vom 5.4.2005 (GV. NRW. S. 306))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2 NW_26997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