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NW_26996 (Nordrhein-Westfalen) — Form und Mindestinhalt des Wirtschaftsplanes für den Gemeindewald</w:t>
      </w:r>
    </w:p>
    <w:p>
      <w:r>
        <w:rPr>
          <w:color w:val="555555"/>
          <w:sz w:val="18"/>
        </w:rPr>
        <w:t xml:space="preserve">Erste Verordnung zur Durchführung des Landesforstgesetzes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für den Gemeindewald gültige Wirtschaftsplan (nach Muster der Anlage 3) gliedert sich in den Teil 1 - Holzeinschlag und Rücken - mit (Anlagen)</w:t>
      </w:r>
    </w:p>
    <w:p>
      <w:r>
        <w:t xml:space="preserve">der Angabe des Hiebssatzes der Forsteinrichtung,</w:t>
      </w:r>
    </w:p>
    <w:p>
      <w:r>
        <w:t xml:space="preserve">des ausgeglichenen Hiebssatzes sowie</w:t>
      </w:r>
    </w:p>
    <w:p>
      <w:r>
        <w:t xml:space="preserve">der Einschlags- und Rückeplanung,</w:t>
      </w:r>
    </w:p>
    <w:p>
      <w:r>
        <w:t xml:space="preserve">einer Kostenplanung und</w:t>
      </w:r>
    </w:p>
    <w:p>
      <w:r>
        <w:t xml:space="preserve">den Teil 2 - Sonstige Betriebsmaßnahmen -.</w:t>
      </w:r>
    </w:p>
    <w:p>
      <w:r>
        <w:t xml:space="preserve">(2) Absatz 1 gilt auch für den Wald der den Gemeinden nach § 37 Abs. 1 Landesforstgesetz gleichgestellten juristischen Personen des öffentlichen Rechts.</w:t>
      </w:r>
    </w:p>
    <w:p>
      <w:r>
        <w:t xml:space="preserve">ZWEITER ABSCHNITT</w:t>
      </w:r>
    </w:p>
    <w:p>
      <w:r>
        <w:t xml:space="preserve">Verfahren zur Bildung einer Waldwirtschaftsgenossen-</w:t>
      </w:r>
    </w:p>
    <w:p>
      <w:r>
        <w:t xml:space="preserve">schaft, Genossenschaftsverzeichnis</w:t>
      </w:r>
    </w:p>
    <w:p>
      <w:r>
        <w:t xml:space="preserve">Zu § 16:</w:t>
      </w:r>
    </w:p>
    <w:p>
      <w:r>
        <w:rPr>
          <w:color w:val="555555"/>
          <w:sz w:val="17"/>
        </w:rPr>
        <w:t xml:space="preserve">Zitiervorschlag: § 6 NW_26996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