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NW_26996 (Nordrhein-Westfalen) — Form und Mindestinhalt der Betriebspläne für Waldwirtschaftsgenossenschaften</w:t>
      </w:r>
    </w:p>
    <w:p>
      <w:r>
        <w:rPr>
          <w:color w:val="555555"/>
          <w:sz w:val="18"/>
        </w:rPr>
        <w:t xml:space="preserve">Erste Verordnung zur Durchführung des Landesforstgesetzes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den gemeinsamen Betriebsplan der Waldwirtschaftsgenossenschaften gilt § 1 mit folgender Maßgabe</w:t>
      </w:r>
    </w:p>
    <w:p>
      <w:r>
        <w:t xml:space="preserve">1. die objektive jährliche Nutzungsmöglichkeit der Waldwirtschaftsgenossenschaft ist aus den Hiebs- oder Nutzungssätzen der zur Waldwirtschaftsgenossenschaft gehörenden Einzelbetriebe herzuleiten,</w:t>
      </w:r>
    </w:p>
    <w:p>
      <w:r>
        <w:t xml:space="preserve">2. im Erläuterungsbericht sind die Gesichtspunkte der räumlichen Ordnung im Walde besonders darzustellen,</w:t>
      </w:r>
    </w:p>
    <w:p>
      <w:r>
        <w:t xml:space="preserve">3. die Forstbetriebskarte ist für den Gesamtbereich der Waldwirtschaftsgenossenschaft zu erstellen.</w:t>
      </w:r>
    </w:p>
    <w:p>
      <w:r>
        <w:t xml:space="preserve">(2) Falls die Satzung einer Waldwirtschaftsgenossenschaft dies vorsieht, kann der gemeinsame Betriebsplan unter Beachtung von Absatz 1 Nr. 2 und 3 nach § 1 aufgestellt werden.</w:t>
      </w:r>
    </w:p>
    <w:p>
      <w:r>
        <w:t xml:space="preserve">(3) Bei Durchführung einer Stichprobeninventur gilt § 3.</w:t>
      </w:r>
    </w:p>
    <w:p>
      <w:r>
        <w:t xml:space="preserve">Zu § 36:</w:t>
      </w:r>
    </w:p>
    <w:p>
      <w:r>
        <w:rPr>
          <w:color w:val="555555"/>
          <w:sz w:val="17"/>
        </w:rPr>
        <w:t xml:space="preserve">Zitiervorschlag: § 4 NW_26996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https://recht.nulegal.eu/gesetze/NW_26996/4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