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NW_26996 (Nordrhein-Westfalen)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 Über die Wirksamkeit dieser Verordnung unterrichtet die Landesregierung den Landtag bis zum 31. Dezember 2011.</w:t>
      </w:r>
    </w:p>
    <w:p>
      <w:r>
        <w:t xml:space="preserve">Sie wird erlassen</w:t>
      </w:r>
    </w:p>
    <w:p>
      <w:r>
        <w:t xml:space="preserve">1. aufgrund des § 29 und des § 62 Abs. 4 Landesforstgesetz</w:t>
      </w:r>
    </w:p>
    <w:p>
      <w:r>
        <w:t xml:space="preserve">2. aufgrund des § 12 Abs. 2, des § 14 Abs. 4 und des § 16 Landesforstgesetz nach Beratung mit dem Landtagsausschuß für Ernährung, Land-, Forst- und Wasserwirtschaft und</w:t>
      </w:r>
    </w:p>
    <w:p>
      <w:r>
        <w:t xml:space="preserve">3. aufgrund des § 36 und des § 37 Abs. 1 in Verbindung mit § 36 Landesforstgesetz nach Beratung mit dem Landtagsausschuß für Ernährung, Land-, Forst- und Wasserwirtschaft und im Einvernehmen mit dem Innenminister.</w:t>
      </w:r>
    </w:p>
    <w:p>
      <w:r>
        <w:t xml:space="preserve">Der Minister</w:t>
      </w:r>
    </w:p>
    <w:p>
      <w:r>
        <w:t xml:space="preserve">für</w:t>
      </w:r>
    </w:p>
    <w:p>
      <w:r>
        <w:t xml:space="preserve">Ernährung, Landwirtschaft und Forsten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270 des Zweiten Befristungsgesetzes vom 5.4.2005 (GV. NRW. S. 274))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19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