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NW_26996 (Nordrhein-Westfalen)</w:t>
      </w:r>
    </w:p>
    <w:p>
      <w:r>
        <w:rPr>
          <w:color w:val="555555"/>
          <w:sz w:val="18"/>
        </w:rPr>
        <w:t xml:space="preserve">Erste Verordnung zur Durchführung des Landesforstgesetzes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§§ 1 bis 5 gelten nicht für Betriebspläne und Betriebsgutachten, die sich beim Inkrafttreten dieser Verordnung in Gebrauch befinden oder die zu diesem Zeitpunkt ganz oder in wesentlichen Teilen fertiggestellt sind.</w:t>
      </w:r>
    </w:p>
    <w:p>
      <w:r>
        <w:t xml:space="preserve">(2) § 6 gilt nicht für Wirtschaftspläne der Gemeinden, die beim Inkrafttreten dieser Verordnung für das Jahr 1983 aufgestellt oder in wesentlichen Teilen fertiggestellt sind.</w:t>
      </w:r>
    </w:p>
    <w:p>
      <w:r>
        <w:rPr>
          <w:color w:val="555555"/>
          <w:sz w:val="17"/>
        </w:rPr>
        <w:t xml:space="preserve">Zitiervorschlag: § 18 NW_26996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https://recht.nulegal.eu/gesetze/NW_26996/18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