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NW_26996 (Nordrhein-Westfalen) — Genossenschaftsverzeichnis</w:t>
      </w:r>
    </w:p>
    <w:p>
      <w:r>
        <w:rPr>
          <w:color w:val="555555"/>
          <w:sz w:val="18"/>
        </w:rPr>
        <w:t xml:space="preserve">Erste Verordnung zur Durchführung des Landesforstgesetzes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Genossenschaftsverzeichnis der Waldwirtschaftsgenossenschaften ist nach dem Muster der Anlage 4 anzulegen und zu führen. (Anlagen)</w:t>
      </w:r>
    </w:p>
    <w:p>
      <w:r>
        <w:t xml:space="preserve">DRITTER ABSCHNITT</w:t>
      </w:r>
    </w:p>
    <w:p>
      <w:r>
        <w:t xml:space="preserve">Forstausschüsse</w:t>
      </w:r>
    </w:p>
    <w:p>
      <w:r>
        <w:t xml:space="preserve">Zu § 62 Abs. 4:</w:t>
      </w:r>
    </w:p>
    <w:p>
      <w:r>
        <w:rPr>
          <w:color w:val="555555"/>
          <w:sz w:val="17"/>
        </w:rPr>
        <w:t xml:space="preserve">Zitiervorschlag: § 14 NW_26996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https://recht.nulegal.eu/gesetze/NW_26996/14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