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NW_26996 (Nordrhein-Westfalen) — Vorläufige Geschäftsführung</w:t>
      </w:r>
    </w:p>
    <w:p>
      <w:r>
        <w:rPr>
          <w:color w:val="555555"/>
          <w:sz w:val="18"/>
        </w:rPr>
        <w:t xml:space="preserve">Erste Verordnung zur Durchführung des Landesforstgesetzes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Ist die Waldwirtschaftsgenossenschaft durch Genehmigung der Satzung gebildet, so werden die Geschäfte des Vorstandes und des Vorsitzenden des Vorstandes bis zur Wahl gemäß § 20 Abs. 1 Satz 1 Landesforstgesetz vom Vorstand für das Gründungsverfahren und dessen Vorsitzenden geführt.</w:t>
      </w:r>
    </w:p>
    <w:p>
      <w:r>
        <w:t xml:space="preserve">Zu § 29:</w:t>
      </w:r>
    </w:p>
    <w:p>
      <w:r>
        <w:rPr>
          <w:color w:val="555555"/>
          <w:sz w:val="17"/>
        </w:rPr>
        <w:t xml:space="preserve">Zitiervorschlag: § 13 NW_26996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