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NW_26996 (Nordrhein-Westfalen) — Form und Mindestinhalt der Betriebspläne für den Privatwald mit Altersklassenstruktur</w:t>
      </w:r>
    </w:p>
    <w:p>
      <w:r>
        <w:rPr>
          <w:color w:val="555555"/>
          <w:sz w:val="18"/>
        </w:rPr>
        <w:t xml:space="preserve">Erste Verordnung zur Durchführung des Landesforstgesetzes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Betriebsplan muß mindestens enthalten</w:t>
      </w:r>
    </w:p>
    <w:p>
      <w:r>
        <w:t xml:space="preserve">1. die Nutzungsplanung aufgrund der objektiven jährlichen Nutzungsmöglichkeit</w:t>
      </w:r>
    </w:p>
    <w:p>
      <w:r>
        <w:t xml:space="preserve">2. die Altersklassenübersicht</w:t>
      </w:r>
    </w:p>
    <w:p>
      <w:r>
        <w:t xml:space="preserve">3. den Erläuterungsbericht</w:t>
      </w:r>
    </w:p>
    <w:p>
      <w:r>
        <w:t xml:space="preserve">4. das Betriebsbuch mit den Bestandesblättern, der Zusammenstellung der End- und Vornutzungen und der geplanten Kulturen</w:t>
      </w:r>
    </w:p>
    <w:p>
      <w:r>
        <w:t xml:space="preserve">5. das Flächenwerk auf der Grundlage des Liegenschaftskatasters</w:t>
      </w:r>
    </w:p>
    <w:p>
      <w:r>
        <w:t xml:space="preserve">6. die Forstbetriebskarte im Maßstab 1:5000 oder 1:10000.</w:t>
      </w:r>
    </w:p>
    <w:p>
      <w:r>
        <w:t xml:space="preserve">(2) Der Forsteinrichtungszeitraum beträgt zehn oder zwanzig Jahre; Hiebs- und Nutzungssätze sind in Erntefestmeter ohne Rinde (Efm o.R.) für einen Zeitraum von zehn Jahren zu berechnen.</w:t>
      </w:r>
    </w:p>
    <w:p>
      <w:r>
        <w:t xml:space="preserve">(3) Form und Mindestinhalt der für die Planung nach Absatz 1 Nr. 1 erforderlichen</w:t>
      </w:r>
    </w:p>
    <w:p>
      <w:r>
        <w:t xml:space="preserve">Hauptergebnisse der Forsteinrichtung,</w:t>
      </w:r>
    </w:p>
    <w:p>
      <w:r>
        <w:t xml:space="preserve">Grundlagen der Nutzungsplanung</w:t>
      </w:r>
    </w:p>
    <w:p>
      <w:r>
        <w:t xml:space="preserve">richten sich im einzelnen nach den Mustern der Anlagen 1 und 2. Ein Ausdruck durch automatisierte Datenverarbeitung ist zulässig. (Anlagen)</w:t>
      </w:r>
    </w:p>
    <w:p>
      <w:r>
        <w:rPr>
          <w:color w:val="555555"/>
          <w:sz w:val="17"/>
        </w:rPr>
        <w:t xml:space="preserve">Zitiervorschlag: § 1 NW_26996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https://recht.nulegal.eu/gesetze/NW_26996/1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