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NW_26994 (Nordrhein-Westfalen) — Schadenbeseitigung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Entstehen durch den Erholungsverkehr im Wald sowie an Forst- und Jagdeinrichtungen Schäden mit Ausnahme von Brandschäden, so sollen diese auf Antrag des Waldbesitzers durch die Forstbehörde beseitigt werden; werden erhebliche Schäden nachgewiesen, deren Beseitigung nach Art des Schadens nicht möglich ist, so soll in diesen Einzelfällen ein angemessener Ausgleich in Geld gewährt werden.</w:t>
      </w:r>
    </w:p>
    <w:p>
      <w:r>
        <w:t xml:space="preserve">(2) Die Bestimmungen dieses Paragraphen gelten nicht für Wald im Sinne der §§ 31, 32 und 37 sowie für Wald im Eigentum des Bundes.</w:t>
      </w:r>
    </w:p>
    <w:p>
      <w:r>
        <w:rPr>
          <w:color w:val="555555"/>
          <w:sz w:val="17"/>
        </w:rPr>
        <w:t xml:space="preserve">Zitiervorschlag: § 6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